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0"/>
        <w:ind w:firstLine="720"/>
        <w:jc w:val="right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Приложение № 1 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0"/>
        <w:ind w:firstLine="720"/>
        <w:jc w:val="right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к договору №______от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_</w:t>
      </w:r>
      <w:r>
        <w:rPr>
          <w:rFonts w:ascii="PT Astra Serif" w:hAnsi="PT Astra Serif" w:cs="PT Astra Serif"/>
          <w:sz w:val="20"/>
          <w:szCs w:val="20"/>
        </w:rPr>
        <w:t xml:space="preserve">___</w:t>
      </w:r>
      <w:r>
        <w:rPr>
          <w:rFonts w:ascii="PT Astra Serif" w:hAnsi="PT Astra Serif" w:cs="PT Astra Serif"/>
          <w:sz w:val="20"/>
          <w:szCs w:val="20"/>
        </w:rPr>
        <w:t xml:space="preserve">_________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0"/>
        <w:ind w:firstLine="72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0"/>
        <w:ind w:firstLine="720"/>
        <w:jc w:val="center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Инструкция по организации деятельности министерства финансов области при приеме электронных платежных документов, подписанных электронной подписью.</w:t>
      </w:r>
      <w:r>
        <w:rPr>
          <w:rFonts w:ascii="PT Astra Serif" w:hAnsi="PT Astra Serif" w:cs="PT Astra Serif"/>
          <w:sz w:val="20"/>
          <w:szCs w:val="20"/>
        </w:rPr>
      </w:r>
    </w:p>
    <w:p>
      <w:pPr>
        <w:ind w:firstLine="72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72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1.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Термины и определения:</w:t>
      </w:r>
      <w:r/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ind w:left="0" w:firstLine="0"/>
        <w:jc w:val="both"/>
        <w:rPr>
          <w:rFonts w:ascii="PT Astra Serif" w:hAnsi="PT Astra Serif" w:cs="PT Astra Serif"/>
          <w:sz w:val="20"/>
          <w:szCs w:val="20"/>
          <w:highlight w:val="none"/>
        </w:rPr>
        <w:suppressLineNumbers w:val="0"/>
      </w:pPr>
      <w:r>
        <w:rPr>
          <w:rFonts w:ascii="PT Astra Serif" w:hAnsi="PT Astra Serif" w:cs="PT Astra Serif"/>
          <w:sz w:val="20"/>
          <w:szCs w:val="20"/>
          <w:highlight w:val="none"/>
        </w:rPr>
        <w:t xml:space="preserve">1.1. </w:t>
      </w:r>
      <w:r>
        <w:rPr>
          <w:rFonts w:ascii="PT Astra Serif" w:hAnsi="PT Astra Serif" w:cs="PT Astra Serif"/>
          <w:sz w:val="20"/>
          <w:szCs w:val="20"/>
          <w:highlight w:val="none"/>
        </w:rPr>
        <w:t xml:space="preserve">Автоматизированная система (АС) – программное обеспечение АС «Удаленное рабочее место», разработанное ООО «Информационные системы Криста», с помощью которого осуществляется отправка платежных документов от организации получателя бюджетных средств в фин</w:t>
      </w:r>
      <w:r>
        <w:rPr>
          <w:rFonts w:ascii="PT Astra Serif" w:hAnsi="PT Astra Serif" w:cs="PT Astra Serif"/>
          <w:sz w:val="20"/>
          <w:szCs w:val="20"/>
          <w:highlight w:val="none"/>
        </w:rPr>
        <w:t xml:space="preserve">ансовый орган.</w:t>
      </w:r>
      <w:r>
        <w:rPr>
          <w:rFonts w:ascii="PT Astra Serif" w:hAnsi="PT Astra Serif" w:cs="PT Astra Serif"/>
          <w:sz w:val="20"/>
          <w:szCs w:val="20"/>
        </w:rPr>
      </w:r>
    </w:p>
    <w:p>
      <w:pPr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  <w:highlight w:val="none"/>
        </w:rPr>
        <w:t xml:space="preserve">1.2.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Средства электронной подписи (ЭП)</w:t>
      </w:r>
      <w:r>
        <w:rPr>
          <w:rFonts w:ascii="PT Astra Serif" w:hAnsi="PT Astra Serif" w:cs="PT Astra Serif"/>
          <w:sz w:val="20"/>
          <w:szCs w:val="20"/>
        </w:rPr>
        <w:t xml:space="preserve"> – аппаратные и (или) программные средства, обеспечивающие формирование ЭП под электронным документом.</w:t>
      </w:r>
      <w:r>
        <w:rPr>
          <w:rFonts w:ascii="PT Astra Serif" w:hAnsi="PT Astra Serif" w:cs="PT Astra Serif"/>
          <w:sz w:val="20"/>
          <w:szCs w:val="20"/>
        </w:rPr>
      </w:r>
    </w:p>
    <w:p>
      <w:pPr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1.3.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Закрытый ключ ЭП</w:t>
      </w:r>
      <w:r>
        <w:rPr>
          <w:rFonts w:ascii="PT Astra Serif" w:hAnsi="PT Astra Serif" w:cs="PT Astra Serif"/>
          <w:sz w:val="20"/>
          <w:szCs w:val="20"/>
        </w:rPr>
        <w:t xml:space="preserve"> – уникальная последовательность символов, предназначенная для формирования ЭП под электронным документом, является конфиденциальной информацией, относится к средствам ЭП.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b w:val="0"/>
          <w:bCs w:val="0"/>
          <w:sz w:val="20"/>
          <w:szCs w:val="20"/>
        </w:rPr>
        <w:t xml:space="preserve">1.4.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Открытый ключ ЭП</w:t>
      </w:r>
      <w:r>
        <w:rPr>
          <w:rFonts w:ascii="PT Astra Serif" w:hAnsi="PT Astra Serif" w:cs="PT Astra Serif"/>
          <w:sz w:val="20"/>
          <w:szCs w:val="20"/>
        </w:rPr>
        <w:t xml:space="preserve"> – уникальная последовательность символов, предназначенная для проверки ЭП под электронным документом.</w:t>
      </w:r>
      <w:r>
        <w:rPr>
          <w:rFonts w:ascii="PT Astra Serif" w:hAnsi="PT Astra Serif" w:cs="PT Astra Serif"/>
          <w:sz w:val="20"/>
          <w:szCs w:val="20"/>
        </w:rPr>
      </w:r>
    </w:p>
    <w:p>
      <w:pPr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1.5.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Сертификат открытого ключа ЭП</w:t>
      </w:r>
      <w:r>
        <w:rPr>
          <w:rFonts w:ascii="PT Astra Serif" w:hAnsi="PT Astra Serif" w:cs="PT Astra Serif"/>
          <w:sz w:val="20"/>
          <w:szCs w:val="20"/>
        </w:rPr>
        <w:t xml:space="preserve"> – электронный документ, содержащий реквизиты владельца закрытого ключа ЭП, а также открытый ключ ЭП.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ind w:left="0" w:firstLine="72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</w:p>
    <w:p>
      <w:pPr>
        <w:ind w:left="0" w:firstLine="720"/>
        <w:jc w:val="both"/>
        <w:rPr>
          <w:rFonts w:ascii="PT Astra Serif" w:hAnsi="PT Astra Serif" w:cs="PT Astra Serif"/>
          <w:b/>
          <w:bCs/>
          <w:sz w:val="20"/>
          <w:szCs w:val="20"/>
          <w:highlight w:val="none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2.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Общие положения: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2.1. Настоящая инструкция определяет: 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перечень ответственных должностных лиц и процедуру их назначения;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обязанности ответственных должностных лиц;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порядок хранения Средств ЭП;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порядок использования Средств ЭП в АС;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организацию безопасности рабочих мест ответственных должностных лиц.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2.2. Настоящая инструкция предназначена для министерства финансов области (далее – Организатор).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2.3. Настоящая инструкция является обязательной для исполнения назначенными должностными лицами организаций.</w:t>
      </w:r>
      <w:r>
        <w:rPr>
          <w:rFonts w:ascii="PT Astra Serif" w:hAnsi="PT Astra Serif" w:cs="PT Astra Serif"/>
          <w:sz w:val="20"/>
          <w:szCs w:val="20"/>
        </w:rPr>
      </w:r>
    </w:p>
    <w:p>
      <w:pPr>
        <w:ind w:left="0" w:firstLine="72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</w:p>
    <w:p>
      <w:pPr>
        <w:ind w:left="0" w:firstLine="720"/>
        <w:jc w:val="both"/>
        <w:rPr>
          <w:rFonts w:ascii="PT Astra Serif" w:hAnsi="PT Astra Serif" w:cs="PT Astra Serif"/>
          <w:b/>
          <w:bCs/>
          <w:sz w:val="20"/>
          <w:szCs w:val="20"/>
          <w:highlight w:val="none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3.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Перечень, порядок назначения и обязанности ответственных должностных лиц: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616"/>
        <w:ind w:left="0" w:firstLine="0"/>
        <w:jc w:val="both"/>
        <w:rPr>
          <w:rFonts w:ascii="PT Astra Serif" w:hAnsi="PT Astra Serif" w:cs="PT Astra Serif"/>
          <w:b/>
          <w:bCs/>
          <w:sz w:val="20"/>
          <w:szCs w:val="20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3.1. Перечень должностных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3.1.1. При приеме Организатором платежных документов необходимо назначить следующих ответственных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Администратор сервера АС.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3.1.2. Для обеспечения оперативной работы рекомендуется назначать как минимум двух сотрудников, администраторов сервера АС.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b/>
          <w:bCs/>
          <w:sz w:val="20"/>
          <w:szCs w:val="20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3.2. Порядок назначения должностных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3.2.1. Должностные лица, указанные в пунктах 3.1.1 назначаются и освобождаются от обязанностей приказом руководителя.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3.2.2. Должностные лица назначаются из числа сотрудников Организатора.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b/>
          <w:bCs/>
          <w:sz w:val="20"/>
          <w:szCs w:val="20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3.3. Обязанности должностных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3.3.1 Администратор сервера АС: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Не разглашать конфиденциальную информацию, к которой они допущены, рубежи ее защиты, в том числе пароли и </w:t>
      </w:r>
      <w:r>
        <w:rPr>
          <w:rFonts w:ascii="PT Astra Serif" w:hAnsi="PT Astra Serif" w:cs="PT Astra Serif"/>
          <w:sz w:val="20"/>
          <w:szCs w:val="20"/>
        </w:rPr>
        <w:t xml:space="preserve">сведения о ключах Э</w:t>
      </w:r>
      <w:r>
        <w:rPr>
          <w:rFonts w:ascii="PT Astra Serif" w:hAnsi="PT Astra Serif" w:cs="PT Astra Serif"/>
          <w:sz w:val="20"/>
          <w:szCs w:val="20"/>
        </w:rPr>
        <w:t xml:space="preserve">П;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Соблюдать требования данной Инструкции к обеспечению безопасности конфиденциальной информации;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Сообщать руководству о ставших ему известными попытках посторонних лиц получить сведения конфиденциального характера;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tabs>
          <w:tab w:val="left" w:pos="1134" w:leader="none"/>
        </w:tabs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Поддерживать на сервере АС актуальный список</w:t>
      </w:r>
      <w:r>
        <w:rPr>
          <w:rFonts w:ascii="PT Astra Serif" w:hAnsi="PT Astra Serif" w:cs="PT Astra Serif"/>
          <w:sz w:val="20"/>
          <w:szCs w:val="20"/>
        </w:rPr>
        <w:t xml:space="preserve"> сертификатов открытых ключей Э</w:t>
      </w:r>
      <w:r>
        <w:rPr>
          <w:rFonts w:ascii="PT Astra Serif" w:hAnsi="PT Astra Serif" w:cs="PT Astra Serif"/>
          <w:sz w:val="20"/>
          <w:szCs w:val="20"/>
        </w:rPr>
        <w:t xml:space="preserve">П;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tabs>
          <w:tab w:val="left" w:pos="1134" w:leader="none"/>
        </w:tabs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Поддерживать на сервере АС актуальный список отозванных сертификатов;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tabs>
          <w:tab w:val="left" w:pos="1134" w:leader="none"/>
        </w:tabs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Оперативно реагировать на обращения Участников с просьбами, относящимися к его деятельности;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tabs>
          <w:tab w:val="left" w:pos="1134" w:leader="none"/>
        </w:tabs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Проверять целостность программного обеспе</w:t>
      </w:r>
      <w:r>
        <w:rPr>
          <w:rFonts w:ascii="PT Astra Serif" w:hAnsi="PT Astra Serif" w:cs="PT Astra Serif"/>
          <w:sz w:val="20"/>
          <w:szCs w:val="20"/>
        </w:rPr>
        <w:t xml:space="preserve">чения АС и программных Средств Э</w:t>
      </w:r>
      <w:r>
        <w:rPr>
          <w:rFonts w:ascii="PT Astra Serif" w:hAnsi="PT Astra Serif" w:cs="PT Astra Serif"/>
          <w:sz w:val="20"/>
          <w:szCs w:val="20"/>
        </w:rPr>
        <w:t xml:space="preserve">П;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tabs>
          <w:tab w:val="left" w:pos="1134" w:leader="none"/>
        </w:tabs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Осуществлять резервное копирование базы данных с электрон</w:t>
      </w:r>
      <w:r>
        <w:rPr>
          <w:rFonts w:ascii="PT Astra Serif" w:hAnsi="PT Astra Serif" w:cs="PT Astra Serif"/>
          <w:sz w:val="20"/>
          <w:szCs w:val="20"/>
        </w:rPr>
        <w:t xml:space="preserve">ными документами, подписанными Э</w:t>
      </w:r>
      <w:r>
        <w:rPr>
          <w:rFonts w:ascii="PT Astra Serif" w:hAnsi="PT Astra Serif" w:cs="PT Astra Serif"/>
          <w:sz w:val="20"/>
          <w:szCs w:val="20"/>
        </w:rPr>
        <w:t xml:space="preserve">П;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tabs>
          <w:tab w:val="left" w:pos="1134" w:leader="none"/>
        </w:tabs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Немедленно уведомлять руководство о фактах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tabs>
          <w:tab w:val="left" w:pos="1134" w:leader="none"/>
        </w:tabs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Не нарушать процедуру получения и установки сертификатов открытых ключей, описанную в пункте 5 настоящей Инструкции;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tabs>
          <w:tab w:val="left" w:pos="1134" w:leader="none"/>
        </w:tabs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Неукоснительно соблюдать все положения настоящей инструкции.</w:t>
      </w:r>
      <w:r>
        <w:rPr>
          <w:rFonts w:ascii="PT Astra Serif" w:hAnsi="PT Astra Serif" w:cs="PT Astra Serif"/>
          <w:sz w:val="20"/>
          <w:szCs w:val="20"/>
          <w:lang w:val="en-US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ind w:left="0" w:firstLine="720"/>
        <w:jc w:val="both"/>
        <w:rPr>
          <w:rFonts w:ascii="PT Astra Serif" w:hAnsi="PT Astra Serif" w:cs="PT Astra Serif"/>
          <w:b/>
          <w:bCs/>
          <w:sz w:val="20"/>
          <w:szCs w:val="20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</w:p>
    <w:p>
      <w:pPr>
        <w:pStyle w:val="616"/>
        <w:ind w:left="0" w:firstLine="720"/>
        <w:jc w:val="both"/>
        <w:rPr>
          <w:rFonts w:ascii="PT Astra Serif" w:hAnsi="PT Astra Serif" w:cs="PT Astra Serif"/>
          <w:b/>
          <w:bCs/>
          <w:sz w:val="20"/>
          <w:szCs w:val="20"/>
          <w:highlight w:val="none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4.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Порядок хранения Средств ЭП: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2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4.1. Все полученные (закупленные) Средства ЭП хранятся непосредственно у Организатора.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4.2. Все Средства ЭП, а также пароли, пин-коды и т.п. хранятся в сейфе, кроме установленного на рабочее место АС программного обеспечения.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4.3. Ключи от сейфа хранить в месте, обеспечивающем возможность постоянного контроля за ними. В случае наличия замка с шифром, предотвращать разглашение шифра.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4.4. Дубликат ключей от сейфа находится у руководителя в опечатанном конверте.</w:t>
      </w:r>
      <w:r>
        <w:rPr>
          <w:rFonts w:ascii="PT Astra Serif" w:hAnsi="PT Astra Serif" w:cs="PT Astra Serif"/>
          <w:sz w:val="20"/>
          <w:szCs w:val="20"/>
        </w:rPr>
      </w:r>
    </w:p>
    <w:p>
      <w:pPr>
        <w:ind w:left="0" w:firstLine="72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</w:p>
    <w:p>
      <w:pPr>
        <w:ind w:left="0" w:firstLine="720"/>
        <w:jc w:val="both"/>
        <w:rPr>
          <w:rFonts w:ascii="PT Astra Serif" w:hAnsi="PT Astra Serif" w:cs="PT Astra Serif"/>
          <w:b/>
          <w:bCs/>
          <w:sz w:val="20"/>
          <w:szCs w:val="20"/>
          <w:highlight w:val="none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5.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Порядок использования Средств ЭП в АС.</w:t>
      </w:r>
      <w:r>
        <w:rPr>
          <w:rFonts w:ascii="PT Astra Serif" w:hAnsi="PT Astra Serif" w:cs="PT Astra Serif"/>
          <w:sz w:val="20"/>
          <w:szCs w:val="20"/>
        </w:rPr>
      </w:r>
      <w:r/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5.1. Средства ЭП используются исключительно для проверки ЭП под электронным документом в электронном документообороте, реализованном средствами АС. 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5.2. Использование Средств ЭП при других организационно-правовых или финансовых отношениях строго запрещено.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5.3. Процедура проверки подписи электронного документа с ЭП,  осуществляется следующим образом: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Администратор сервера АС получает сертификат открытого ключа ЭП сотрудника Участника в удостоверяющем центре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Администратор сервера АС</w:t>
      </w:r>
      <w:r>
        <w:rPr>
          <w:rFonts w:ascii="PT Astra Serif" w:hAnsi="PT Astra Serif" w:cs="PT Astra Serif"/>
          <w:sz w:val="20"/>
          <w:szCs w:val="20"/>
        </w:rPr>
        <w:t xml:space="preserve"> устанавливает на сервер АС сертификаты открытых ключей ЭП сотрудников Участников.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Администратор сервера АС получает список отозванных сертификатов сотрудников Участников.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Администратор сервера АС</w:t>
      </w:r>
      <w:r>
        <w:rPr>
          <w:rFonts w:ascii="PT Astra Serif" w:hAnsi="PT Astra Serif" w:cs="PT Astra Serif"/>
          <w:sz w:val="20"/>
          <w:szCs w:val="20"/>
        </w:rPr>
        <w:t xml:space="preserve"> устанавливает на сервере список отозванных сертификатов сотрудников Участников.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Проверка электронных документов с ЭП сервером АС происходит автоматически.</w:t>
      </w:r>
      <w:r>
        <w:rPr>
          <w:rFonts w:ascii="PT Astra Serif" w:hAnsi="PT Astra Serif" w:cs="PT Astra Serif"/>
          <w:sz w:val="20"/>
          <w:szCs w:val="20"/>
        </w:rPr>
      </w:r>
    </w:p>
    <w:p>
      <w:pPr>
        <w:ind w:left="0" w:firstLine="720"/>
        <w:jc w:val="both"/>
        <w:rPr>
          <w:rFonts w:ascii="PT Astra Serif" w:hAnsi="PT Astra Serif" w:cs="PT Astra Serif"/>
          <w:b/>
          <w:bCs/>
          <w:sz w:val="20"/>
          <w:szCs w:val="20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</w:p>
    <w:p>
      <w:pPr>
        <w:pStyle w:val="616"/>
        <w:ind w:left="0" w:firstLine="720"/>
        <w:jc w:val="both"/>
        <w:rPr>
          <w:rFonts w:ascii="PT Astra Serif" w:hAnsi="PT Astra Serif" w:cs="PT Astra Serif"/>
          <w:b/>
          <w:bCs/>
          <w:sz w:val="20"/>
          <w:szCs w:val="20"/>
          <w:highlight w:val="none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6.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Организация безопасности рабочего места с установленной АС: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6.1. Сервер АС и средства ЭП, размещается так чтобы доступ к нему был ограничен кругом лиц, имеющим право выполнять обязанности администратора сервера АС.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6.2. Системный блок сервера АС, а также системный блок сервера, на котором располагается база данных с подписанными ЭП электронными документами,  должен быть опломбирован или опечатан.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6.3.  Пароли для входа в операционную систему должен хранится в тайне и меняться не реже одного раза в три месяца.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  <w:t xml:space="preserve">6.4. В случае необходимости замены Администратора сервера АС, оповестить об этом Участников.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708" w:firstLine="72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708" w:firstLine="720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sz w:val="20"/>
          <w:szCs w:val="20"/>
          <w:lang w:val="en-US"/>
        </w:rPr>
      </w:r>
      <w:r>
        <w:rPr>
          <w:rFonts w:ascii="PT Astra Serif" w:hAnsi="PT Astra Serif" w:cs="PT Astra Serif"/>
          <w:sz w:val="20"/>
          <w:szCs w:val="20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24"/>
        <w:gridCol w:w="4824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 w:cs="PT Astra Serif"/>
                <w:bCs/>
              </w:rPr>
            </w:pPr>
            <w:r>
              <w:rPr>
                <w:rFonts w:ascii="PT Astra Serif" w:hAnsi="PT Astra Serif" w:cs="PT Astra Serif"/>
                <w:b/>
                <w:sz w:val="20"/>
                <w:szCs w:val="20"/>
              </w:rPr>
              <w:t xml:space="preserve"> От Организатора</w:t>
            </w:r>
            <w:r>
              <w:rPr>
                <w:rFonts w:ascii="PT Astra Serif" w:hAnsi="PT Astra Serif" w:cs="PT Astra Serif"/>
                <w:b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 w:cs="PT Astra Serif"/>
                <w:bCs/>
              </w:rPr>
            </w:pPr>
            <w:r>
              <w:rPr>
                <w:rFonts w:ascii="PT Astra Serif" w:hAnsi="PT Astra Serif" w:cs="PT Astra Serif"/>
                <w:b/>
                <w:sz w:val="20"/>
                <w:szCs w:val="20"/>
              </w:rPr>
              <w:t xml:space="preserve"> От Участника</w:t>
            </w:r>
            <w:r>
              <w:rPr>
                <w:rFonts w:ascii="PT Astra Serif" w:hAnsi="PT Astra Serif" w:cs="PT Astra Serif"/>
                <w:b/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616"/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Заместитель министра финансов Саратовской области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616"/>
            </w:pP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616"/>
            </w:pP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616"/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________________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 /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 Е.А. Петькин 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/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616"/>
            </w:pP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616"/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«___» ________________ 20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2_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 года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616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                    м.п.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616"/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___________________________________________________________________________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______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_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616"/>
            </w:pPr>
            <w:r>
              <w:rPr>
                <w:rFonts w:ascii="PT Astra Serif" w:hAnsi="PT Astra Serif" w:cs="PT Astra Serif"/>
                <w:sz w:val="20"/>
                <w:szCs w:val="20"/>
                <w:lang w:val="en-US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r>
              <w:rPr>
                <w:rFonts w:ascii="PT Astra Serif" w:hAnsi="PT Astra Serif" w:cs="PT Astra Serif"/>
                <w:sz w:val="20"/>
                <w:szCs w:val="20"/>
                <w:highlight w:val="none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616"/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___________________ /</w:t>
            </w:r>
            <w:r>
              <w:rPr>
                <w:rFonts w:ascii="PT Astra Serif" w:hAnsi="PT Astra Serif" w:cs="PT Astra Serif"/>
                <w:sz w:val="20"/>
                <w:szCs w:val="20"/>
                <w:lang w:val="en-US"/>
              </w:rPr>
              <w:t xml:space="preserve">                                  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 /</w:t>
            </w:r>
            <w:r>
              <w:rPr>
                <w:rFonts w:ascii="PT Astra Serif" w:hAnsi="PT Astra Serif" w:cs="PT Astra Serif"/>
                <w:sz w:val="20"/>
                <w:szCs w:val="20"/>
                <w:highlight w:val="none"/>
              </w:rPr>
            </w:r>
            <w:r/>
          </w:p>
          <w:p>
            <w:pPr>
              <w:pStyle w:val="616"/>
            </w:pP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616"/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«___» ________________ 20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2_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 года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  <w:p>
            <w:pPr>
              <w:pStyle w:val="616"/>
              <w:rPr>
                <w:rFonts w:ascii="PT Astra Serif" w:hAnsi="PT Astra Serif" w:cs="PT Astra Serif"/>
                <w:highlight w:val="none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                    м.п.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/>
          </w:p>
        </w:tc>
      </w:tr>
    </w:tbl>
    <w:p>
      <w:pPr>
        <w:ind w:firstLine="720"/>
        <w:suppressLineNumbers w:val="0"/>
      </w:pPr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709" w:right="850" w:bottom="1134" w:left="1276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1"/>
      <w:jc w:val="center"/>
    </w:pPr>
    <w:fldSimple w:instr="PAGE \* MERGEFORMAT">
      <w:r>
        <w:t xml:space="preserve">1</w:t>
      </w:r>
    </w:fldSimple>
    <w:r/>
    <w:r/>
  </w:p>
  <w:p>
    <w:pPr>
      <w:pStyle w:val="41"/>
    </w:pP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16"/>
        <w:ind w:left="1211" w:hanging="360"/>
        <w:tabs>
          <w:tab w:val="num" w:pos="1211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16"/>
        <w:ind w:left="1931" w:hanging="360"/>
        <w:tabs>
          <w:tab w:val="num" w:pos="193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6"/>
        <w:ind w:left="2651" w:hanging="360"/>
        <w:tabs>
          <w:tab w:val="num" w:pos="265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6"/>
        <w:ind w:left="3371" w:hanging="360"/>
        <w:tabs>
          <w:tab w:val="num" w:pos="337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6"/>
        <w:ind w:left="4091" w:hanging="360"/>
        <w:tabs>
          <w:tab w:val="num" w:pos="409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6"/>
        <w:ind w:left="4811" w:hanging="360"/>
        <w:tabs>
          <w:tab w:val="num" w:pos="481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6"/>
        <w:ind w:left="5531" w:hanging="360"/>
        <w:tabs>
          <w:tab w:val="num" w:pos="553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6"/>
        <w:ind w:left="6251" w:hanging="360"/>
        <w:tabs>
          <w:tab w:val="num" w:pos="625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6"/>
        <w:ind w:left="6971" w:hanging="360"/>
        <w:tabs>
          <w:tab w:val="num" w:pos="6971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16"/>
        <w:ind w:left="2136" w:hanging="360"/>
        <w:tabs>
          <w:tab w:val="num" w:pos="213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16"/>
        <w:ind w:left="2856" w:hanging="360"/>
        <w:tabs>
          <w:tab w:val="num" w:pos="285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6"/>
        <w:ind w:left="3576" w:hanging="360"/>
        <w:tabs>
          <w:tab w:val="num" w:pos="357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6"/>
        <w:ind w:left="4296" w:hanging="360"/>
        <w:tabs>
          <w:tab w:val="num" w:pos="429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6"/>
        <w:ind w:left="5016" w:hanging="360"/>
        <w:tabs>
          <w:tab w:val="num" w:pos="501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6"/>
        <w:ind w:left="5736" w:hanging="360"/>
        <w:tabs>
          <w:tab w:val="num" w:pos="573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6"/>
        <w:ind w:left="6456" w:hanging="360"/>
        <w:tabs>
          <w:tab w:val="num" w:pos="645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6"/>
        <w:ind w:left="7176" w:hanging="360"/>
        <w:tabs>
          <w:tab w:val="num" w:pos="717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6"/>
        <w:ind w:left="7896" w:hanging="360"/>
        <w:tabs>
          <w:tab w:val="num" w:pos="7896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16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616"/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616"/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616"/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616"/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616"/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616"/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616"/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616"/>
        <w:ind w:left="4320" w:hanging="1440"/>
        <w:tabs>
          <w:tab w:val="num" w:pos="46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16"/>
        <w:ind w:left="2136" w:hanging="360"/>
        <w:tabs>
          <w:tab w:val="num" w:pos="213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16"/>
        <w:ind w:left="2856" w:hanging="360"/>
        <w:tabs>
          <w:tab w:val="num" w:pos="285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6"/>
        <w:ind w:left="3576" w:hanging="360"/>
        <w:tabs>
          <w:tab w:val="num" w:pos="357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6"/>
        <w:ind w:left="4296" w:hanging="360"/>
        <w:tabs>
          <w:tab w:val="num" w:pos="429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6"/>
        <w:ind w:left="5016" w:hanging="360"/>
        <w:tabs>
          <w:tab w:val="num" w:pos="501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6"/>
        <w:ind w:left="5736" w:hanging="360"/>
        <w:tabs>
          <w:tab w:val="num" w:pos="573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6"/>
        <w:ind w:left="6456" w:hanging="360"/>
        <w:tabs>
          <w:tab w:val="num" w:pos="645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6"/>
        <w:ind w:left="7176" w:hanging="360"/>
        <w:tabs>
          <w:tab w:val="num" w:pos="717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6"/>
        <w:ind w:left="7896" w:hanging="360"/>
        <w:tabs>
          <w:tab w:val="num" w:pos="7896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16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616"/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616"/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616"/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616"/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616"/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616"/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616"/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616"/>
        <w:ind w:left="4320" w:hanging="1440"/>
        <w:tabs>
          <w:tab w:val="num" w:pos="46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16"/>
        <w:ind w:left="1428" w:hanging="360"/>
        <w:tabs>
          <w:tab w:val="num" w:pos="1428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16"/>
        <w:ind w:left="2148" w:hanging="360"/>
        <w:tabs>
          <w:tab w:val="num" w:pos="2148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6"/>
        <w:ind w:left="2868" w:hanging="360"/>
        <w:tabs>
          <w:tab w:val="num" w:pos="2868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6"/>
        <w:ind w:left="3588" w:hanging="360"/>
        <w:tabs>
          <w:tab w:val="num" w:pos="3588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6"/>
        <w:ind w:left="4308" w:hanging="360"/>
        <w:tabs>
          <w:tab w:val="num" w:pos="4308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6"/>
        <w:ind w:left="5028" w:hanging="360"/>
        <w:tabs>
          <w:tab w:val="num" w:pos="5028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6"/>
        <w:ind w:left="5748" w:hanging="360"/>
        <w:tabs>
          <w:tab w:val="num" w:pos="5748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6"/>
        <w:ind w:left="6468" w:hanging="360"/>
        <w:tabs>
          <w:tab w:val="num" w:pos="6468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6"/>
        <w:ind w:left="7188" w:hanging="360"/>
        <w:tabs>
          <w:tab w:val="num" w:pos="7188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16"/>
        <w:ind w:left="1776" w:hanging="360"/>
        <w:tabs>
          <w:tab w:val="num" w:pos="177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16"/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6"/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6"/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6"/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6"/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6"/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6"/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6"/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16"/>
        <w:ind w:left="720" w:hanging="360"/>
        <w:tabs>
          <w:tab w:val="num" w:pos="72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16"/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16"/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6"/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6"/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6"/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6"/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6"/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6"/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6"/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16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616"/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616"/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616"/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616"/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616"/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616"/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616"/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616"/>
        <w:ind w:left="4320" w:hanging="1440"/>
        <w:tabs>
          <w:tab w:val="num" w:pos="4680" w:leader="none"/>
        </w:tabs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7"/>
  </w:num>
  <w:num w:numId="9">
    <w:abstractNumId w:val="4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16"/>
    <w:next w:val="616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16"/>
    <w:next w:val="616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16"/>
    <w:next w:val="616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16"/>
    <w:next w:val="616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16"/>
    <w:next w:val="616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16"/>
    <w:next w:val="616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16"/>
    <w:next w:val="616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16"/>
    <w:next w:val="616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16"/>
    <w:next w:val="616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616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16"/>
    <w:next w:val="616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616"/>
    <w:next w:val="616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616"/>
    <w:next w:val="616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16"/>
    <w:next w:val="616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16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616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616"/>
    <w:next w:val="6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16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616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rPr>
      <w:sz w:val="24"/>
      <w:szCs w:val="24"/>
      <w:lang w:val="ru-RU" w:eastAsia="ru-RU" w:bidi="ar-SA"/>
    </w:rPr>
  </w:style>
  <w:style w:type="character" w:styleId="617">
    <w:name w:val="Основной шрифт абзаца"/>
    <w:next w:val="617"/>
    <w:link w:val="616"/>
    <w:semiHidden/>
  </w:style>
  <w:style w:type="table" w:styleId="618">
    <w:name w:val="Обычная таблица"/>
    <w:next w:val="618"/>
    <w:link w:val="616"/>
    <w:semiHidden/>
    <w:tblPr/>
  </w:style>
  <w:style w:type="numbering" w:styleId="619">
    <w:name w:val="Нет списка"/>
    <w:next w:val="619"/>
    <w:link w:val="616"/>
    <w:semiHidden/>
  </w:style>
  <w:style w:type="paragraph" w:styleId="620">
    <w:name w:val="Основной текст"/>
    <w:basedOn w:val="616"/>
    <w:next w:val="620"/>
    <w:link w:val="616"/>
    <w:pPr>
      <w:jc w:val="center"/>
    </w:pPr>
    <w:rPr>
      <w:b/>
      <w:szCs w:val="28"/>
    </w:rPr>
  </w:style>
  <w:style w:type="paragraph" w:styleId="621">
    <w:name w:val="Основной текст с отступом"/>
    <w:basedOn w:val="616"/>
    <w:next w:val="621"/>
    <w:link w:val="616"/>
    <w:pPr>
      <w:ind w:left="1068"/>
    </w:pPr>
  </w:style>
  <w:style w:type="paragraph" w:styleId="622">
    <w:name w:val="Основной текст с отступом 2"/>
    <w:basedOn w:val="616"/>
    <w:next w:val="622"/>
    <w:link w:val="616"/>
    <w:pPr>
      <w:ind w:left="708"/>
    </w:pPr>
  </w:style>
  <w:style w:type="character" w:styleId="1022" w:default="1">
    <w:name w:val="Default Paragraph Font"/>
    <w:uiPriority w:val="1"/>
    <w:semiHidden/>
    <w:unhideWhenUsed/>
  </w:style>
  <w:style w:type="numbering" w:styleId="1023" w:default="1">
    <w:name w:val="No List"/>
    <w:uiPriority w:val="99"/>
    <w:semiHidden/>
    <w:unhideWhenUsed/>
  </w:style>
  <w:style w:type="table" w:styleId="102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Р7-Офис/7.2.1.14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договору № 2 от______________</dc:title>
  <dc:creator>noskov</dc:creator>
  <cp:revision>10</cp:revision>
  <dcterms:created xsi:type="dcterms:W3CDTF">2012-01-20T11:37:00Z</dcterms:created>
  <dcterms:modified xsi:type="dcterms:W3CDTF">2023-02-02T11:47:47Z</dcterms:modified>
  <cp:version>917504</cp:version>
</cp:coreProperties>
</file>